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D0" w:rsidRDefault="008E48D0" w:rsidP="004D2F92">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P 31</w:t>
      </w:r>
    </w:p>
    <w:p w:rsidR="004D2F92" w:rsidRDefault="004D2658" w:rsidP="004D2F92">
      <w:pPr>
        <w:spacing w:after="0" w:line="240" w:lineRule="auto"/>
        <w:jc w:val="both"/>
        <w:rPr>
          <w:rFonts w:ascii="Times New Roman" w:eastAsia="Times New Roman" w:hAnsi="Times New Roman" w:cs="Times New Roman"/>
          <w:b/>
          <w:bCs/>
        </w:rPr>
      </w:pPr>
      <w:r w:rsidRPr="004D2F92">
        <w:rPr>
          <w:rFonts w:ascii="Times New Roman" w:eastAsia="Times New Roman" w:hAnsi="Times New Roman" w:cs="Times New Roman"/>
          <w:b/>
          <w:bCs/>
        </w:rPr>
        <w:t>USO DE UN PUERTO DE INYECCIÓN (I–PORT) REDUCE EL RECHAZO A LAS INYECCIONES MÚLTIPLES DE INSULINA (MDI) Y MEJORA EL CONTROL METABÓLICO EN NIÑOS Y ADOLESCENTES CON DM TIPO 1</w:t>
      </w:r>
    </w:p>
    <w:p w:rsidR="004D2F92" w:rsidRDefault="004D2658" w:rsidP="004D2F92">
      <w:pPr>
        <w:spacing w:after="0" w:line="240" w:lineRule="auto"/>
        <w:jc w:val="both"/>
        <w:rPr>
          <w:rFonts w:ascii="Times New Roman" w:eastAsia="Times New Roman" w:hAnsi="Times New Roman" w:cs="Times New Roman"/>
          <w:vertAlign w:val="superscript"/>
        </w:rPr>
      </w:pPr>
      <w:r w:rsidRPr="004D2F92">
        <w:rPr>
          <w:rFonts w:ascii="Times New Roman" w:eastAsia="Times New Roman" w:hAnsi="Times New Roman" w:cs="Times New Roman"/>
        </w:rPr>
        <w:t>A</w:t>
      </w:r>
      <w:r w:rsidR="004D2F92">
        <w:rPr>
          <w:rFonts w:ascii="Times New Roman" w:eastAsia="Times New Roman" w:hAnsi="Times New Roman" w:cs="Times New Roman"/>
        </w:rPr>
        <w:t>lejandra Ávila Alarcón</w:t>
      </w:r>
      <w:r w:rsidRPr="004D2F92">
        <w:rPr>
          <w:rFonts w:ascii="Times New Roman" w:eastAsia="Times New Roman" w:hAnsi="Times New Roman" w:cs="Times New Roman"/>
          <w:vertAlign w:val="superscript"/>
        </w:rPr>
        <w:t>1</w:t>
      </w:r>
      <w:r w:rsidRPr="004D2F92">
        <w:rPr>
          <w:rFonts w:ascii="Times New Roman" w:eastAsia="Times New Roman" w:hAnsi="Times New Roman" w:cs="Times New Roman"/>
        </w:rPr>
        <w:t>, R</w:t>
      </w:r>
      <w:r w:rsidR="004D2F92">
        <w:rPr>
          <w:rFonts w:ascii="Times New Roman" w:eastAsia="Times New Roman" w:hAnsi="Times New Roman" w:cs="Times New Roman"/>
        </w:rPr>
        <w:t>osario Lobos Aedo</w:t>
      </w:r>
      <w:r w:rsidRPr="004D2F92">
        <w:rPr>
          <w:rFonts w:ascii="Times New Roman" w:eastAsia="Times New Roman" w:hAnsi="Times New Roman" w:cs="Times New Roman"/>
          <w:vertAlign w:val="superscript"/>
        </w:rPr>
        <w:t>1</w:t>
      </w:r>
    </w:p>
    <w:p w:rsidR="004D2F92" w:rsidRDefault="004D2F92" w:rsidP="004D2F9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Hospital Clínico San Borja Arriarán, IDIMI</w:t>
      </w:r>
    </w:p>
    <w:p w:rsidR="00A5298E" w:rsidRPr="004D2F92" w:rsidRDefault="004D2658" w:rsidP="004D2F92">
      <w:pPr>
        <w:spacing w:after="0" w:line="240" w:lineRule="auto"/>
        <w:jc w:val="both"/>
        <w:rPr>
          <w:rFonts w:ascii="Times New Roman" w:eastAsia="Times New Roman" w:hAnsi="Times New Roman" w:cs="Times New Roman"/>
        </w:rPr>
      </w:pPr>
      <w:r w:rsidRPr="004D2F92">
        <w:rPr>
          <w:rFonts w:ascii="Times New Roman" w:eastAsia="Times New Roman" w:hAnsi="Times New Roman" w:cs="Times New Roman"/>
          <w:b/>
          <w:bCs/>
        </w:rPr>
        <w:t xml:space="preserve">Contenido: </w:t>
      </w:r>
    </w:p>
    <w:p w:rsidR="00A5298E" w:rsidRPr="004D2F92" w:rsidRDefault="004D2658" w:rsidP="004D2F92">
      <w:pPr>
        <w:pStyle w:val="NormalWeb"/>
        <w:spacing w:before="0" w:beforeAutospacing="0" w:after="0" w:afterAutospacing="0"/>
        <w:jc w:val="both"/>
        <w:rPr>
          <w:sz w:val="22"/>
          <w:szCs w:val="22"/>
        </w:rPr>
      </w:pPr>
      <w:r w:rsidRPr="004D2F92">
        <w:rPr>
          <w:sz w:val="22"/>
          <w:szCs w:val="22"/>
        </w:rPr>
        <w:t>El tratamiento intensificado de la diabetes tipo 1 (DM1) precisa el uso de insulina subcutánea al menos 4 veces al día. Algunos niños se rehúsan a la terapia intensificada por miedo y dolor relacionado a las inyecciones de insulina.</w:t>
      </w:r>
    </w:p>
    <w:p w:rsidR="00A5298E" w:rsidRPr="004D2F92" w:rsidRDefault="004D2658" w:rsidP="004D2F92">
      <w:pPr>
        <w:pStyle w:val="NormalWeb"/>
        <w:spacing w:before="0" w:beforeAutospacing="0" w:after="0" w:afterAutospacing="0"/>
        <w:jc w:val="both"/>
        <w:rPr>
          <w:sz w:val="22"/>
          <w:szCs w:val="22"/>
        </w:rPr>
      </w:pPr>
      <w:r w:rsidRPr="004D2F92">
        <w:rPr>
          <w:sz w:val="22"/>
          <w:szCs w:val="22"/>
        </w:rPr>
        <w:t>El I-</w:t>
      </w:r>
      <w:proofErr w:type="spellStart"/>
      <w:r w:rsidRPr="004D2F92">
        <w:rPr>
          <w:sz w:val="22"/>
          <w:szCs w:val="22"/>
        </w:rPr>
        <w:t>port</w:t>
      </w:r>
      <w:proofErr w:type="spellEnd"/>
      <w:r w:rsidRPr="004D2F92">
        <w:rPr>
          <w:sz w:val="22"/>
          <w:szCs w:val="22"/>
        </w:rPr>
        <w:t xml:space="preserve"> es un puerto de inserción de insulina subcutánea que requiere una punción en la piel cada tres días, permitiendo que el paciente reciba insulina en múltiples dosis sin dolor.</w:t>
      </w:r>
    </w:p>
    <w:p w:rsidR="00A5298E" w:rsidRPr="004D2F92" w:rsidRDefault="004D2658" w:rsidP="004D2F92">
      <w:pPr>
        <w:pStyle w:val="NormalWeb"/>
        <w:spacing w:before="0" w:beforeAutospacing="0" w:after="0" w:afterAutospacing="0"/>
        <w:jc w:val="both"/>
        <w:rPr>
          <w:sz w:val="22"/>
          <w:szCs w:val="22"/>
        </w:rPr>
      </w:pPr>
      <w:r w:rsidRPr="004D2F92">
        <w:rPr>
          <w:sz w:val="22"/>
          <w:szCs w:val="22"/>
        </w:rPr>
        <w:t>Objetivo: evaluar el efecto del uso de I-</w:t>
      </w:r>
      <w:proofErr w:type="spellStart"/>
      <w:r w:rsidRPr="004D2F92">
        <w:rPr>
          <w:sz w:val="22"/>
          <w:szCs w:val="22"/>
        </w:rPr>
        <w:t>port</w:t>
      </w:r>
      <w:proofErr w:type="spellEnd"/>
      <w:r w:rsidRPr="004D2F92">
        <w:rPr>
          <w:sz w:val="22"/>
          <w:szCs w:val="22"/>
        </w:rPr>
        <w:t xml:space="preserve"> sobre la sensación de dolor a las inyecciones múltiples de insulina (MDI), adherencia a tratamiento y control metabólico.</w:t>
      </w:r>
    </w:p>
    <w:p w:rsidR="00A5298E" w:rsidRPr="004D2F92" w:rsidRDefault="004D2658" w:rsidP="004D2F92">
      <w:pPr>
        <w:pStyle w:val="NormalWeb"/>
        <w:spacing w:before="0" w:beforeAutospacing="0" w:after="0" w:afterAutospacing="0"/>
        <w:jc w:val="both"/>
        <w:rPr>
          <w:sz w:val="22"/>
          <w:szCs w:val="22"/>
        </w:rPr>
      </w:pPr>
      <w:r w:rsidRPr="004D2F92">
        <w:rPr>
          <w:sz w:val="22"/>
          <w:szCs w:val="22"/>
        </w:rPr>
        <w:t>Método: estudio descriptivo prospectivo. Participaron 27 pacientes con DM1 controlados en nuestro Hospital con rechazo a las inyecciones, entre 4-17 años de edad, 7 menores de 8 años (26%), duración promedio de DM de 8 años ± 3,0 DS (rango de 1 – 15 años).Todos fueron evaluados antes y al cabo de 3 meses usando I-</w:t>
      </w:r>
      <w:proofErr w:type="spellStart"/>
      <w:r w:rsidRPr="004D2F92">
        <w:rPr>
          <w:sz w:val="22"/>
          <w:szCs w:val="22"/>
        </w:rPr>
        <w:t>port</w:t>
      </w:r>
      <w:proofErr w:type="spellEnd"/>
      <w:r w:rsidRPr="004D2F92">
        <w:rPr>
          <w:sz w:val="22"/>
          <w:szCs w:val="22"/>
        </w:rPr>
        <w:t xml:space="preserve">. Se aplicó una encuesta de dolor de acuerdo a la edad de los niños. Menores de 8 </w:t>
      </w:r>
      <w:proofErr w:type="gramStart"/>
      <w:r w:rsidRPr="004D2F92">
        <w:rPr>
          <w:sz w:val="22"/>
          <w:szCs w:val="22"/>
        </w:rPr>
        <w:t>años ,</w:t>
      </w:r>
      <w:proofErr w:type="gramEnd"/>
      <w:r w:rsidRPr="004D2F92">
        <w:rPr>
          <w:sz w:val="22"/>
          <w:szCs w:val="22"/>
        </w:rPr>
        <w:t xml:space="preserve"> escala visual de caritas (escala de Wong Baker (WB)) y Mayores de 8 años (escala de </w:t>
      </w:r>
      <w:proofErr w:type="spellStart"/>
      <w:r w:rsidRPr="004D2F92">
        <w:rPr>
          <w:sz w:val="22"/>
          <w:szCs w:val="22"/>
        </w:rPr>
        <w:t>Walco</w:t>
      </w:r>
      <w:proofErr w:type="spellEnd"/>
      <w:r w:rsidRPr="004D2F92">
        <w:rPr>
          <w:sz w:val="22"/>
          <w:szCs w:val="22"/>
        </w:rPr>
        <w:t xml:space="preserve"> y </w:t>
      </w:r>
      <w:proofErr w:type="spellStart"/>
      <w:r w:rsidRPr="004D2F92">
        <w:rPr>
          <w:sz w:val="22"/>
          <w:szCs w:val="22"/>
        </w:rPr>
        <w:t>Howit</w:t>
      </w:r>
      <w:proofErr w:type="spellEnd"/>
      <w:r w:rsidRPr="004D2F92">
        <w:rPr>
          <w:sz w:val="22"/>
          <w:szCs w:val="22"/>
        </w:rPr>
        <w:t xml:space="preserve">(WH)). El puntaje 0 indica sin dolor y 10 máximo dolor. El control metabólico se evaluó por Hemoglobina Glicosilada (HbA1c) y la adherencia al número de inyecciones diarias a través de auto reporte de niños y cuidadores. </w:t>
      </w:r>
    </w:p>
    <w:p w:rsidR="00A5298E" w:rsidRPr="004D2F92" w:rsidRDefault="004D2658" w:rsidP="004D2F92">
      <w:pPr>
        <w:pStyle w:val="NormalWeb"/>
        <w:spacing w:before="0" w:beforeAutospacing="0" w:after="0" w:afterAutospacing="0"/>
        <w:jc w:val="both"/>
        <w:rPr>
          <w:b/>
          <w:sz w:val="22"/>
          <w:szCs w:val="22"/>
        </w:rPr>
      </w:pPr>
      <w:r w:rsidRPr="004D2F92">
        <w:rPr>
          <w:b/>
          <w:sz w:val="22"/>
          <w:szCs w:val="22"/>
        </w:rPr>
        <w:t>Resultados:</w:t>
      </w:r>
    </w:p>
    <w:p w:rsidR="00A5298E" w:rsidRPr="004D2F92" w:rsidRDefault="004D2658" w:rsidP="004D2F92">
      <w:pPr>
        <w:pStyle w:val="NormalWeb"/>
        <w:spacing w:before="0" w:beforeAutospacing="0" w:after="0" w:afterAutospacing="0"/>
        <w:jc w:val="both"/>
        <w:rPr>
          <w:sz w:val="22"/>
          <w:szCs w:val="22"/>
        </w:rPr>
      </w:pPr>
      <w:r w:rsidRPr="004D2F92">
        <w:rPr>
          <w:sz w:val="22"/>
          <w:szCs w:val="22"/>
        </w:rPr>
        <w:t>Los resultados se presentan como tiempo 0 y 3 meses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25"/>
        <w:gridCol w:w="1158"/>
        <w:gridCol w:w="1614"/>
        <w:gridCol w:w="1629"/>
      </w:tblGrid>
      <w:tr w:rsidR="00A5298E" w:rsidRPr="004D2F92">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A5298E" w:rsidP="004D2F92">
            <w:pPr>
              <w:spacing w:after="0" w:line="240" w:lineRule="auto"/>
              <w:jc w:val="both"/>
              <w:rPr>
                <w:rFonts w:ascii="Times New Roman" w:eastAsia="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rStyle w:val="Textoennegrita"/>
                <w:sz w:val="22"/>
                <w:szCs w:val="22"/>
              </w:rPr>
              <w:t>TIEMPO 0</w:t>
            </w:r>
          </w:p>
        </w:tc>
        <w:tc>
          <w:tcPr>
            <w:tcW w:w="1584"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rStyle w:val="Textoennegrita"/>
                <w:sz w:val="22"/>
                <w:szCs w:val="22"/>
              </w:rPr>
              <w:t>POST 3 MESES</w:t>
            </w:r>
          </w:p>
        </w:tc>
        <w:tc>
          <w:tcPr>
            <w:tcW w:w="1584"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rStyle w:val="Textoennegrita"/>
                <w:sz w:val="22"/>
                <w:szCs w:val="22"/>
              </w:rPr>
              <w:t>P</w:t>
            </w:r>
          </w:p>
        </w:tc>
      </w:tr>
      <w:tr w:rsidR="00A5298E" w:rsidRPr="004D2F92">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rStyle w:val="Textoennegrita"/>
                <w:sz w:val="22"/>
                <w:szCs w:val="22"/>
              </w:rPr>
              <w:t>HbA1c &lt; 8 años (7)</w:t>
            </w:r>
          </w:p>
        </w:tc>
        <w:tc>
          <w:tcPr>
            <w:tcW w:w="1128"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sz w:val="22"/>
                <w:szCs w:val="22"/>
              </w:rPr>
              <w:t>8,0±0,3%</w:t>
            </w:r>
          </w:p>
        </w:tc>
        <w:tc>
          <w:tcPr>
            <w:tcW w:w="1584"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sz w:val="22"/>
                <w:szCs w:val="22"/>
              </w:rPr>
              <w:t>7,5±0,3%</w:t>
            </w:r>
          </w:p>
        </w:tc>
        <w:tc>
          <w:tcPr>
            <w:tcW w:w="1584"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sz w:val="22"/>
                <w:szCs w:val="22"/>
              </w:rPr>
              <w:t>0,018</w:t>
            </w:r>
          </w:p>
        </w:tc>
      </w:tr>
      <w:tr w:rsidR="00A5298E" w:rsidRPr="004D2F92">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rStyle w:val="Textoennegrita"/>
                <w:sz w:val="22"/>
                <w:szCs w:val="22"/>
              </w:rPr>
              <w:t>HbA1c &gt;8 años (20)</w:t>
            </w:r>
          </w:p>
        </w:tc>
        <w:tc>
          <w:tcPr>
            <w:tcW w:w="1128"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sz w:val="22"/>
                <w:szCs w:val="22"/>
              </w:rPr>
              <w:t>9,3±0,3%</w:t>
            </w:r>
          </w:p>
        </w:tc>
        <w:tc>
          <w:tcPr>
            <w:tcW w:w="1584"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sz w:val="22"/>
                <w:szCs w:val="22"/>
              </w:rPr>
              <w:t>8,1±0,2%</w:t>
            </w:r>
          </w:p>
        </w:tc>
        <w:tc>
          <w:tcPr>
            <w:tcW w:w="1584"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sz w:val="22"/>
                <w:szCs w:val="22"/>
              </w:rPr>
              <w:t>0,001</w:t>
            </w:r>
          </w:p>
        </w:tc>
      </w:tr>
      <w:tr w:rsidR="00A5298E" w:rsidRPr="004D2F92">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rStyle w:val="Textoennegrita"/>
                <w:sz w:val="22"/>
                <w:szCs w:val="22"/>
              </w:rPr>
              <w:t>Dolor escala de WB (&lt;8 años)</w:t>
            </w:r>
          </w:p>
        </w:tc>
        <w:tc>
          <w:tcPr>
            <w:tcW w:w="1128"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sz w:val="22"/>
                <w:szCs w:val="22"/>
              </w:rPr>
              <w:t>7,1±0,6</w:t>
            </w:r>
          </w:p>
        </w:tc>
        <w:tc>
          <w:tcPr>
            <w:tcW w:w="1584"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sz w:val="22"/>
                <w:szCs w:val="22"/>
              </w:rPr>
              <w:t>0±0</w:t>
            </w:r>
          </w:p>
        </w:tc>
        <w:tc>
          <w:tcPr>
            <w:tcW w:w="1584"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sz w:val="22"/>
                <w:szCs w:val="22"/>
              </w:rPr>
              <w:t>0,017</w:t>
            </w:r>
          </w:p>
        </w:tc>
      </w:tr>
      <w:tr w:rsidR="00A5298E" w:rsidRPr="004D2F92">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rStyle w:val="Textoennegrita"/>
                <w:sz w:val="22"/>
                <w:szCs w:val="22"/>
              </w:rPr>
              <w:t>Dolor escala de WH (&gt;8 años)</w:t>
            </w:r>
          </w:p>
        </w:tc>
        <w:tc>
          <w:tcPr>
            <w:tcW w:w="1128"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sz w:val="22"/>
                <w:szCs w:val="22"/>
              </w:rPr>
              <w:t>7,2±0,3</w:t>
            </w:r>
          </w:p>
        </w:tc>
        <w:tc>
          <w:tcPr>
            <w:tcW w:w="1584"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sz w:val="22"/>
                <w:szCs w:val="22"/>
              </w:rPr>
              <w:t>0,6±0,1</w:t>
            </w:r>
          </w:p>
        </w:tc>
        <w:tc>
          <w:tcPr>
            <w:tcW w:w="1584" w:type="dxa"/>
            <w:tcBorders>
              <w:top w:val="outset" w:sz="6" w:space="0" w:color="auto"/>
              <w:left w:val="outset" w:sz="6" w:space="0" w:color="auto"/>
              <w:bottom w:val="outset" w:sz="6" w:space="0" w:color="auto"/>
              <w:right w:val="outset" w:sz="6" w:space="0" w:color="auto"/>
            </w:tcBorders>
            <w:vAlign w:val="center"/>
            <w:hideMark/>
          </w:tcPr>
          <w:p w:rsidR="00A5298E" w:rsidRPr="004D2F92" w:rsidRDefault="004D2658" w:rsidP="004D2F92">
            <w:pPr>
              <w:pStyle w:val="NormalWeb"/>
              <w:spacing w:before="0" w:beforeAutospacing="0" w:after="0" w:afterAutospacing="0"/>
              <w:jc w:val="both"/>
              <w:rPr>
                <w:sz w:val="22"/>
                <w:szCs w:val="22"/>
              </w:rPr>
            </w:pPr>
            <w:r w:rsidRPr="004D2F92">
              <w:rPr>
                <w:sz w:val="22"/>
                <w:szCs w:val="22"/>
              </w:rPr>
              <w:t>0,001</w:t>
            </w:r>
          </w:p>
        </w:tc>
      </w:tr>
    </w:tbl>
    <w:p w:rsidR="00A5298E" w:rsidRPr="004D2F92" w:rsidRDefault="004D2658" w:rsidP="004D2F92">
      <w:pPr>
        <w:pStyle w:val="NormalWeb"/>
        <w:spacing w:before="0" w:beforeAutospacing="0" w:after="0" w:afterAutospacing="0"/>
        <w:jc w:val="both"/>
        <w:rPr>
          <w:sz w:val="22"/>
          <w:szCs w:val="22"/>
        </w:rPr>
      </w:pPr>
      <w:r w:rsidRPr="004D2F92">
        <w:rPr>
          <w:sz w:val="22"/>
          <w:szCs w:val="22"/>
        </w:rPr>
        <w:t>Previo al estudio los niños tuvieron un número promedio de punciones mensuales de 150, con I-Port fue de 40 punciones por mes (p&lt;0.001) Efectos colaterales: 11% presentó eritema y prurito local. Un 96,6% de los niños y cuidadores se declaran satisfechos.</w:t>
      </w:r>
    </w:p>
    <w:p w:rsidR="00A5298E" w:rsidRPr="004D2F92" w:rsidRDefault="004D2658" w:rsidP="004D2F92">
      <w:pPr>
        <w:pStyle w:val="NormalWeb"/>
        <w:spacing w:before="0" w:beforeAutospacing="0" w:after="0" w:afterAutospacing="0"/>
        <w:jc w:val="both"/>
        <w:rPr>
          <w:sz w:val="22"/>
          <w:szCs w:val="22"/>
        </w:rPr>
      </w:pPr>
      <w:r w:rsidRPr="004D2F92">
        <w:rPr>
          <w:b/>
          <w:sz w:val="22"/>
          <w:szCs w:val="22"/>
        </w:rPr>
        <w:t>Conclusión</w:t>
      </w:r>
      <w:r w:rsidRPr="004D2F92">
        <w:rPr>
          <w:sz w:val="22"/>
          <w:szCs w:val="22"/>
        </w:rPr>
        <w:t>: Los niños(as) disminuyeron (85%) o mantuvieron sus valores de HbA1c, especialmente el grupo &gt; de 8 años en dónde el manejo de su diabetes es realizado mayoritariamente por ellos. La mayoría de las familias optó por mantener el uso de este dispositivo al terminar el estudio, lo que sugiere, que el uso de I-Port es útil en el tratamiento diario de los niños con DM1 disminuyendo el dolor aumentando adherencia y mejorando control metabólico.</w:t>
      </w:r>
    </w:p>
    <w:p w:rsidR="004D2658" w:rsidRPr="004D2F92" w:rsidRDefault="004D2658" w:rsidP="004D2F92">
      <w:pPr>
        <w:spacing w:after="0" w:line="240" w:lineRule="auto"/>
        <w:jc w:val="both"/>
        <w:rPr>
          <w:rFonts w:ascii="Times New Roman" w:eastAsia="Times New Roman" w:hAnsi="Times New Roman" w:cs="Times New Roman"/>
        </w:rPr>
      </w:pPr>
      <w:r w:rsidRPr="004D2F92">
        <w:rPr>
          <w:rFonts w:ascii="Times New Roman" w:eastAsia="Times New Roman" w:hAnsi="Times New Roman" w:cs="Times New Roman"/>
          <w:b/>
          <w:bCs/>
        </w:rPr>
        <w:t xml:space="preserve">Financiamiento: </w:t>
      </w:r>
      <w:r w:rsidRPr="004D2F92">
        <w:rPr>
          <w:rFonts w:ascii="Times New Roman" w:eastAsia="Times New Roman" w:hAnsi="Times New Roman" w:cs="Times New Roman"/>
        </w:rPr>
        <w:t xml:space="preserve">Sin financiamiento </w:t>
      </w:r>
    </w:p>
    <w:sectPr w:rsidR="004D2658" w:rsidRPr="004D2F92" w:rsidSect="00A5298E">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C69B3"/>
    <w:rsid w:val="004D2658"/>
    <w:rsid w:val="004D2F92"/>
    <w:rsid w:val="005C69B3"/>
    <w:rsid w:val="008E48D0"/>
    <w:rsid w:val="00A10C64"/>
    <w:rsid w:val="00A5298E"/>
    <w:rsid w:val="00EA2E7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5298E"/>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A529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4</cp:revision>
  <cp:lastPrinted>2018-08-03T19:12:00Z</cp:lastPrinted>
  <dcterms:created xsi:type="dcterms:W3CDTF">2018-08-03T19:12:00Z</dcterms:created>
  <dcterms:modified xsi:type="dcterms:W3CDTF">2018-09-30T20:23:00Z</dcterms:modified>
</cp:coreProperties>
</file>